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Ensino Médio Técnico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Componente Curricular: Tema Gerador e Auto-organização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Série: 1ª,2ª e 3ª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Carga Horária: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Formação para lecionar o componente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Qualquer licenciatura.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Articular o tema gerador e auto-organização como elementos pedagógicos centrais no processo de integração curricular. Desenvolver competências para a investigação da realidade, de forma interdisciplinar, para a identificação de contradições e formulação coletiva de temas significativos. Incentivar práticas de coletividade estudantil, cooperação, participação democrática e protagonismo juvenil no cotidiano escolar. Promover ações formativas que resultem em projetos de pesquisa e intervenção na comunidade, articulando escola, território e saberes locais.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Ementa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 Gerador: levantamento preliminar da realidade, das situações limites, dos temas e subtemas.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Auto-organização: formação de coletivos, definição de tarefas, planejamento e participação na gestão escolar.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Processos interdisciplinares de estudo e trabalho.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Atividades vinculadas à reflexão sobre a realidade local e intervenção na comunidade.  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Pontos de Correlação com o Perfil do Egresso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Atuar com autonomia, responsabilidade e pensamento crítico na análise da realidade local.</w:t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Participar de processos coletivos, colaborativos e democráticos no ambiente escolar e comunitário.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Mobilizar conhecimentos interdisciplinares para compreender problemas reais e propor soluções contextualizadas.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Reconhecer-se como sujeito histórico, cultural e social capaz de intervir no território.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Competências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Investigar problemas reais da comunidade a partir do Tema Gerador e propor soluções sustentáveis e transformadoras.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Planejar e executar processos coletivos de gestão escolar.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Articular conhecimentos da Formação Geral Básica e da Formação Profissional em práticas interdisciplinares.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Identificar situações limites a partir do cotidiano e da realidade local. 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Registrar, sistematizar e socializar processos investigativos e de intervenção na comunidade.</w:t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Trabalhar de forma colaborativa na organização de tarefas, assembleias e grupos de estudo.</w:t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Construir, de modo interdisciplinar, sínteses, relatórios, mapas conceituais, projetos e intervenções comunitárias.</w:t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Base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Fundamentos da Educação do Campo.</w:t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Território, identidade e cultura camponesa.</w:t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Práticas interdisciplinares de estudo e trabalho.</w:t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Investigação da realidade e análise das situações limites.</w:t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Planejamento coletivo de registro e sistematização.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Gestão democrática e participação estudantil.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Produção de pesquisas e devolutivas à comunidade.</w:t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Auto-organização de coletivos, assembleias e tarefas escolares.</w:t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Pontos de Integração com a Formação Geral Básica – FGB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Linguagens - produção de textos, registros, sínteses e apresentações acadêmicas e artísticas.</w:t>
        <w:br w:type="textWrapping"/>
        <w:t xml:space="preserve">Ciências da Natureza – análise de elementos ambientais, produtivos e socioculturais do território.</w:t>
        <w:br w:type="textWrapping"/>
        <w:t xml:space="preserve">Ciências Humanas– Leitura crítica da realidade, da história e da cultura da comunidade e das organizações sociais campesinas.</w:t>
        <w:br w:type="textWrapping"/>
        <w:t xml:space="preserve">Matemática – cálculo e organização de dados, de indicadores e gráficos.</w:t>
      </w:r>
    </w:p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Bibliografia Básica</w:t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CALDART, Roseli Salete.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Sobre as tarefas educativas da escola e a atualidade.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São Paulo: Expressão Popular, 2023.</w:t>
      </w:r>
    </w:p>
    <w:p w:rsidR="00000000" w:rsidDel="00000000" w:rsidP="00000000" w:rsidRDefault="00000000" w:rsidRPr="00000000" w14:paraId="0000003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DIAS, Aline de Freitas; CARVALHO, Monique Santiago; JACOB, Jorcy Foerste (Org.).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Campo Educa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Interdisciplinaridade: Metodologias da Educação do Campo. Vitória, ES: Sedu, 2025. Disponível em: https://curriculo.sedu.es.gov.br/curriculo/educacaodocampo/. Acesso em: Dez/2025.</w:t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DIAS, Aline de Freitas; CARVALHO, Monique Santiago; JACOB, Jorcy Foerste (Org.).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Campo Educa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Auto-organização: Metodologias da Educação do Campo. Vitória, ES: Sedu, 2025.Disponível em: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https://curriculo.sedu.es.gov.br/curriculo/educacaodocampo/. Acesso em: Dez/2025.</w:t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ESPÍRITO SANTO. Resolução CEE-ES nº. 6.596/2022. Aprova as Diretrizes Operacionais da Educação do Campo do Estado do Espírito Santo, e dá outras providências.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Diário Oficial do Espírito Santo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Vitória, 13 de dez. de 2022.</w:t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Bibliografia Complementar</w:t>
      </w:r>
    </w:p>
    <w:p w:rsidR="00000000" w:rsidDel="00000000" w:rsidP="00000000" w:rsidRDefault="00000000" w:rsidRPr="00000000" w14:paraId="0000003B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FAZENDA, Ivani C. A.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Interdisciplinaridade: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história, teoria e pesquisa. Campinas: Papirus, 1994.</w:t>
      </w:r>
    </w:p>
    <w:p w:rsidR="00000000" w:rsidDel="00000000" w:rsidP="00000000" w:rsidRDefault="00000000" w:rsidRPr="00000000" w14:paraId="0000003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FREIRE, Paulo.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Pedagogia do oprimido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Paz e Terra, 1987.</w:t>
      </w:r>
    </w:p>
    <w:p w:rsidR="00000000" w:rsidDel="00000000" w:rsidP="00000000" w:rsidRDefault="00000000" w:rsidRPr="00000000" w14:paraId="0000003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HELMER, Claudiney.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Tema gerador como uma práxis educativa no CEIER de Vila Pavão - 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[recurso eletrônico]: guia de orientação. 1. ed. - Vitória: Edifes Acadêmico, 2023.</w:t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PISTRAK, Moisey Mikhaylovich.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Fundamentos da escola do trabalho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São Paulo: Expressão Popular, 2022. 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 w:val="1"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99"/>
    <w:unhideWhenUsed w:val="1"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 w:val="1"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Commarcador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Commarcadore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Numerada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Numerada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Numerada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decontinuao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demacro">
    <w:name w:val="macro"/>
    <w:link w:val="Textodemacro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 w:val="1"/>
      <w:iCs w:val="1"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 w:val="1"/>
    <w:rsid w:val="00FC693F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C693F"/>
    <w:rPr>
      <w:i w:val="1"/>
      <w:iCs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eSutil">
    <w:name w:val="Subtle Emphasis"/>
    <w:basedOn w:val="Fontepargpadr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Fontepargpadr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nciaSutil">
    <w:name w:val="Subtle Reference"/>
    <w:basedOn w:val="Fontepargpadr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Hyperlink">
    <w:name w:val="Hyperlink"/>
    <w:basedOn w:val="Fontepargpadro"/>
    <w:uiPriority w:val="99"/>
    <w:unhideWhenUsed w:val="1"/>
    <w:rsid w:val="00B03C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03CD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dMh66tGeW6qptNL2qAxc1kjBdg==">CgMxLjA4AHIhMVB6RWNyaEVCU2RVTzREaFM0LXhvdWNYbDVVSlRybzFk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2025-12-08T17:21:00Z</dcterms:created>
  <dc:creator>python-docx</dc:creator>
</cp:coreProperties>
</file>